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Fearless</w:t>
      </w:r>
      <w:r w:rsidDel="00000000" w:rsidR="00000000" w:rsidRPr="00000000">
        <w:rPr>
          <w:sz w:val="32"/>
          <w:szCs w:val="32"/>
          <w:rtl w:val="0"/>
        </w:rPr>
        <w:t xml:space="preserve">: Implementation Checklist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Take the </w:t>
      </w:r>
      <w:r w:rsidDel="00000000" w:rsidR="00000000" w:rsidRPr="00000000">
        <w:rPr>
          <w:rtl w:val="0"/>
        </w:rPr>
        <w:t xml:space="preserve">Productize Maturity Diagnostic t</w:t>
      </w:r>
      <w:r w:rsidDel="00000000" w:rsidR="00000000" w:rsidRPr="00000000">
        <w:rPr>
          <w:rtl w:val="0"/>
        </w:rPr>
        <w:t xml:space="preserve">o create your roadmap to productization success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Identify where change is needed around The Four Hallmarks of a Product-Friendly culture (discovery, speed, abundance thinking and collaboration)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Create, align and communicate your productization vision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Identify and map stakeholders that can help or hurt your productization efforts. Create a plan for influencing this group to make progress on your productization journey.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Align on</w:t>
      </w:r>
      <w:r w:rsidDel="00000000" w:rsidR="00000000" w:rsidRPr="00000000">
        <w:rPr>
          <w:rtl w:val="0"/>
        </w:rPr>
        <w:t xml:space="preserve"> productization archetype</w:t>
      </w:r>
      <w:r w:rsidDel="00000000" w:rsidR="00000000" w:rsidRPr="00000000">
        <w:rPr>
          <w:rtl w:val="0"/>
        </w:rPr>
        <w:t xml:space="preserve"> (remember you can choose more than one)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60" w:before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Archetype One: Standardize and Tech-enable Delivery of Services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60" w:before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Archetype Two: Bring Products to Market to Complement Services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60" w:before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Archetype Three: Build a New Products Business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lineRule="auto"/>
        <w:ind w:left="1440" w:hanging="360"/>
        <w:rPr/>
      </w:pPr>
      <w:r w:rsidDel="00000000" w:rsidR="00000000" w:rsidRPr="00000000">
        <w:rPr>
          <w:i w:val="1"/>
          <w:rtl w:val="0"/>
        </w:rPr>
        <w:t xml:space="preserve">Archetype Four: </w:t>
      </w:r>
      <w:r w:rsidDel="00000000" w:rsidR="00000000" w:rsidRPr="00000000">
        <w:rPr>
          <w:i w:val="1"/>
          <w:rtl w:val="0"/>
        </w:rPr>
        <w:t xml:space="preserve">Products Become the Core of the Business and Customized Services Are Sunset or Significantly Shrunk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Tame fear by taking a LEAP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numPr>
          <w:ilvl w:val="1"/>
          <w:numId w:val="1"/>
        </w:numPr>
        <w:spacing w:after="60" w:before="0" w:line="276" w:lineRule="auto"/>
        <w:ind w:left="1440" w:hanging="360"/>
        <w:rPr>
          <w:color w:val="000000"/>
          <w:sz w:val="22"/>
          <w:szCs w:val="22"/>
        </w:rPr>
      </w:pPr>
      <w:bookmarkStart w:colFirst="0" w:colLast="0" w:name="_9bb7gkrs42e0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L—Listen to Your Intuition by Quieting the Mind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1"/>
          <w:numId w:val="1"/>
        </w:numPr>
        <w:spacing w:after="60" w:before="0" w:line="276" w:lineRule="auto"/>
        <w:ind w:left="1440" w:hanging="360"/>
        <w:rPr>
          <w:color w:val="000000"/>
          <w:sz w:val="22"/>
          <w:szCs w:val="22"/>
        </w:rPr>
      </w:pPr>
      <w:bookmarkStart w:colFirst="0" w:colLast="0" w:name="_x6y7ea2adgol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E—Expect Less Than Perfect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1"/>
          <w:numId w:val="1"/>
        </w:numPr>
        <w:spacing w:after="60" w:before="0" w:line="276" w:lineRule="auto"/>
        <w:ind w:left="1440" w:hanging="360"/>
        <w:rPr>
          <w:color w:val="000000"/>
          <w:sz w:val="22"/>
          <w:szCs w:val="22"/>
        </w:rPr>
      </w:pPr>
      <w:bookmarkStart w:colFirst="0" w:colLast="0" w:name="_eo09clfdwrsb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A—Ask for Help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numPr>
          <w:ilvl w:val="1"/>
          <w:numId w:val="1"/>
        </w:numPr>
        <w:spacing w:after="240" w:before="0" w:line="276" w:lineRule="auto"/>
        <w:ind w:left="1440" w:hanging="360"/>
        <w:rPr>
          <w:color w:val="000000"/>
          <w:sz w:val="22"/>
          <w:szCs w:val="22"/>
        </w:rPr>
      </w:pPr>
      <w:bookmarkStart w:colFirst="0" w:colLast="0" w:name="_mhwuzhslks6w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P—Practice Gratitude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Align on which organizational structure will help make your team most successful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Define product team roles and responsibilities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Assess current team’s skills and invest upskilling and/or new hires where needed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Evaluate people-related processes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6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Performance measures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6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Incentives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6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Assessments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6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Training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Operational freedom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Create product governanc</w:t>
      </w:r>
      <w:r w:rsidDel="00000000" w:rsidR="00000000" w:rsidRPr="00000000">
        <w:rPr>
          <w:rtl w:val="0"/>
        </w:rPr>
        <w:t xml:space="preserve">e structures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6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Determine the scope and mandate for product governance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6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RACI has been clearly outlined for product governance council(s)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0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Identify frequency of review process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Identify and align on how you will measure success of individual products and your product portfolio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Follow the Productize Pathway</w:t>
      </w:r>
      <w:r w:rsidDel="00000000" w:rsidR="00000000" w:rsidRPr="00000000">
        <w:rPr>
          <w:highlight w:val="white"/>
          <w:rtl w:val="0"/>
        </w:rPr>
        <w:t xml:space="preserve">™ for imple</w:t>
      </w:r>
      <w:r w:rsidDel="00000000" w:rsidR="00000000" w:rsidRPr="00000000">
        <w:rPr>
          <w:highlight w:val="white"/>
          <w:rtl w:val="0"/>
        </w:rPr>
        <w:t xml:space="preserve">menting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6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Create a Product-Friendly Culture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6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Align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6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Define the Problem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6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Co-Design &amp; Develop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6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Launch Boldly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00" w:before="0" w:line="276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Manage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Choose a model for change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hd w:fill="ffffff" w:val="clear"/>
        <w:spacing w:after="6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Model One: Hire or Acquire Pacesetters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hd w:fill="ffffff" w:val="clear"/>
        <w:spacing w:after="6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Model Two: Incubate Product As a Separate Organization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hd w:fill="ffffff" w:val="clear"/>
        <w:spacing w:after="60"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Model Three: Create a Movement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23963" cy="4283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4283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